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1"/>
        <w:tabs>
          <w:tab w:val="left" w:pos="-134" w:leader="none"/>
          <w:tab w:val="left" w:pos="5911" w:leader="none"/>
          <w:tab w:val="right" w:pos="9355" w:leader="none"/>
        </w:tabs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-273041</wp:posOffset>
                </wp:positionV>
                <wp:extent cx="1581150" cy="1650365"/>
                <wp:effectExtent l="95250" t="76200" r="114300" b="921385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338905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81149" cy="1650364"/>
                        </a:xfrm>
                        <a:prstGeom prst="ellipse">
                          <a:avLst/>
                        </a:prstGeom>
                        <a:ln w="63500" cap="rnd">
                          <a:solidFill>
                            <a:srgbClr val="333333"/>
                          </a:solidFill>
                        </a:ln>
                        <a:effectLst>
                          <a:outerShdw blurRad="381000" dist="292100" dir="5400000" sx="-80000" sy="-18000" rotWithShape="0">
                            <a:srgbClr val="000000">
                              <a:alpha val="22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7456;o:allowoverlap:true;o:allowincell:true;mso-position-horizontal-relative:text;margin-left:338.70pt;mso-position-horizontal:absolute;mso-position-vertical-relative:text;margin-top:-21.50pt;mso-position-vertical:absolute;width:124.50pt;height:129.95pt;mso-wrap-distance-left:9.00pt;mso-wrap-distance-top:0.00pt;mso-wrap-distance-right:9.00pt;mso-wrap-distance-bottom:0.00pt;" strokecolor="#333333" strokeweight="5.00pt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-697925</wp:posOffset>
                </wp:positionH>
                <wp:positionV relativeFrom="paragraph">
                  <wp:posOffset>-309851</wp:posOffset>
                </wp:positionV>
                <wp:extent cx="4508205" cy="11715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50820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773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773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СИБИРСКОЕ МЕЖРЕГИОНАЛЬНОЕ УПРАВЛЕНИЕ РОССЕЛЬХОЗНАДЗОРА</w:t>
                            </w: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0773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-54.95pt;mso-position-horizontal:absolute;mso-position-vertical-relative:text;margin-top:-24.40pt;mso-position-vertical:absolute;width:354.98pt;height:92.2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7731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77314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СИБИРСКОЕ МЕЖРЕГИОНАЛЬНОЕ УПРАВЛЕНИЕ РОССЕЛЬХОЗНАДЗОРА</w:t>
                      </w:r>
                      <w:r>
                        <w:rPr>
                          <w:b/>
                          <w:color w:val="00b05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077314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/>
    </w:p>
    <w:p>
      <w:pPr>
        <w:ind w:left="-851"/>
        <w:tabs>
          <w:tab w:val="left" w:pos="-134" w:leader="none"/>
          <w:tab w:val="left" w:pos="5911" w:leader="none"/>
          <w:tab w:val="right" w:pos="9355" w:leader="none"/>
        </w:tabs>
      </w:pPr>
      <w:r/>
      <w:r/>
      <w:r/>
      <w:r/>
    </w:p>
    <w:p>
      <w:pPr>
        <w:ind w:left="-851"/>
        <w:tabs>
          <w:tab w:val="left" w:pos="-134" w:leader="none"/>
          <w:tab w:val="left" w:pos="5911" w:leader="none"/>
          <w:tab w:val="right" w:pos="935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212090</wp:posOffset>
                </wp:positionV>
                <wp:extent cx="2583180" cy="307975"/>
                <wp:effectExtent l="0" t="0" r="0" b="0"/>
                <wp:wrapNone/>
                <wp:docPr id="3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8318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8 (3822) 44-70-49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, 26-31-95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64384;o:allowoverlap:true;o:allowincell:true;mso-position-horizontal-relative:text;margin-left:-21.30pt;mso-position-horizontal:absolute;mso-position-vertical-relative:text;margin-top:16.70pt;mso-position-vertical:absolute;width:203.40pt;height:24.2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8 (3822) 44-70-49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, 26-31-95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148590</wp:posOffset>
                </wp:positionV>
                <wp:extent cx="552450" cy="1296670"/>
                <wp:effectExtent l="0" t="0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296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360680" cy="1089803"/>
                                      <wp:effectExtent l="0" t="0" r="1270" b="0"/>
                                      <wp:docPr id="5" name="Рисунок 7" descr="C:\Users\Назаров\Desktop\Снимок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Назаров\Desktop\Снимок.PNG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0680" cy="10898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3" o:spid="_x0000_s3" type="#_x0000_t75" style="width:28.40pt;height:85.81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3360;o:allowoverlap:true;o:allowincell:true;mso-position-horizontal-relative:text;margin-left:-69.15pt;mso-position-horizontal:absolute;mso-position-vertical-relative:text;margin-top:11.70pt;mso-position-vertical:absolute;width:43.50pt;height:102.1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360680" cy="1089803"/>
                                <wp:effectExtent l="0" t="0" r="1270" b="0"/>
                                <wp:docPr id="5" name="Рисунок 7" descr="C:\Users\Назаров\Desktop\Снимок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Назаров\Desktop\Снимок.PNG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680" cy="10898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3" o:spid="_x0000_s3" type="#_x0000_t75" style="width:28.40pt;height:85.81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-851"/>
        <w:tabs>
          <w:tab w:val="left" w:pos="-134" w:leader="none"/>
          <w:tab w:val="left" w:pos="5911" w:leader="none"/>
          <w:tab w:val="right" w:pos="935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260350</wp:posOffset>
                </wp:positionV>
                <wp:extent cx="3505200" cy="295275"/>
                <wp:effectExtent l="0" t="0" r="0" b="0"/>
                <wp:wrapNone/>
                <wp:docPr id="6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05199" cy="29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tu18-zemnadzor70@fsvps.gov.ru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65408;o:allowoverlap:true;o:allowincell:true;mso-position-horizontal-relative:text;margin-left:-32.55pt;mso-position-horizontal:absolute;mso-position-vertical-relative:text;margin-top:20.50pt;mso-position-vertical:absolute;width:276.00pt;height:23.2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tu18-zemnadzor70@fsvps.gov.ru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/>
    </w:p>
    <w:p>
      <w:pPr>
        <w:ind w:left="-851"/>
        <w:tabs>
          <w:tab w:val="left" w:pos="-134" w:leader="none"/>
          <w:tab w:val="left" w:pos="5911" w:leader="none"/>
          <w:tab w:val="right" w:pos="9355" w:leader="none"/>
        </w:tabs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297180</wp:posOffset>
                </wp:positionV>
                <wp:extent cx="3444875" cy="372110"/>
                <wp:effectExtent l="0" t="0" r="0" b="0"/>
                <wp:wrapNone/>
                <wp:docPr id="7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4487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634021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, г.Томск, пр. Фрунзе,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109а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66432;o:allowoverlap:true;o:allowincell:true;mso-position-horizontal-relative:text;margin-left:-24.70pt;mso-position-horizontal:absolute;mso-position-vertical-relative:text;margin-top:23.40pt;mso-position-vertical:absolute;width:271.25pt;height:29.3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634021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, г.Томск, пр. Фрунзе,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109а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  <w:r/>
    </w:p>
    <w:p>
      <w:pPr>
        <w:ind w:left="-851"/>
        <w:jc w:val="right"/>
        <w:tabs>
          <w:tab w:val="left" w:pos="-134" w:leader="none"/>
          <w:tab w:val="right" w:pos="9355" w:leader="none"/>
        </w:tabs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2830535</wp:posOffset>
                </wp:positionH>
                <wp:positionV relativeFrom="paragraph">
                  <wp:posOffset>230711</wp:posOffset>
                </wp:positionV>
                <wp:extent cx="3538855" cy="8279130"/>
                <wp:effectExtent l="4762" t="4762" r="4762" b="4762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3538854" cy="827912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spacing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Согласно требованиям земельного законодательства и Постановлению Правительства РФ от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9.2020 N 1479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(ред. от 21.05.2021)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"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 утверждение правил противопожарного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режима в Российской Федерации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"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both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период пожароопасного сезона необходимо: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r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 период со дня схода снежного покрова до установление устойчивой дождливой осенней погоды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или образования снежного покрова органы государственной власти, органы местного самоуправления, юридические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лица, крестьянские(фермерские)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хозяйства, общественные объединения, индивидуальные предприниматели,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должностные лица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граждане РФ, иностранные граждане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лица без гражданства, владеющие, пользующиеся и (или) распоряжающейся территорией, прилегающей к лесу, обеспечивают ее очистку от сухой травянистой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растительности, пожнивных остатков, валежника, порубочных остатков, мусора и других горючих материалов на полосе шириной 10 метров от леса либо отделяют противопожарной  минерализованной полосой шириной 0,5 метра или иным противопожарным барьером.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Правообладатели земельных участков сельскохозяйственного назначения должны принимать меры по защите сельскохозяйственных угодий от зар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стания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сорной растительностью с своевременному проведению сенокошения на сенокосах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Запрещается выжигание сухой травянистой растительности, стерни пожнивных остатков на землях сельскохозяйственного назначения, землях запаса и землях населённого пункта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bot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Испо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льзования открытого огня и разведения костров на землях сельскохозяйственного назначения, землях запаса и землях населённого пункта могут проводиться при условии соблюдения требований пожарной безопасности, установленных в порядке согласно приложению № 4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60800;o:allowoverlap:true;o:allowincell:true;mso-position-horizontal-relative:text;margin-left:222.88pt;mso-position-horizontal:absolute;mso-position-vertical-relative:text;margin-top:18.17pt;mso-position-vertical:absolute;width:278.65pt;height:651.90pt;mso-wrap-distance-left:9.00pt;mso-wrap-distance-top:0.00pt;mso-wrap-distance-right:9.00pt;mso-wrap-distance-bottom:0.00pt;v-text-anchor:top;visibility:visible;" fillcolor="#FFFFFF" stroked="f" strokeweight="0.75pt">
                <v:fill opacity="-19432f"/>
                <v:textbox inset="0,0,0,0">
                  <w:txbxContent>
                    <w:p>
                      <w:pPr>
                        <w:jc w:val="both"/>
                        <w:spacing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Согласно требованиям земельного законодательства и Постановлению Правительства РФ от 1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.0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9.2020 N 1479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(ред. от 21.05.2021)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"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Об утверждение правил противопожарного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режима в Российской Федерации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"</w:t>
                      </w:r>
                      <w:r>
                        <w:rPr>
                          <w:b/>
                          <w:sz w:val="26"/>
                          <w:szCs w:val="26"/>
                        </w:rPr>
                      </w:r>
                      <w:r>
                        <w:rPr>
                          <w:b/>
                          <w:sz w:val="26"/>
                          <w:szCs w:val="26"/>
                        </w:rPr>
                      </w:r>
                    </w:p>
                    <w:p>
                      <w:pPr>
                        <w:jc w:val="both"/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период пожароопасного сезона необходимо: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В период со дня схода снежного покрова до установление устойчивой дождливой осенней погоды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или образования снежного покрова органы государственной власти, органы местного самоуправления, юридические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лица, крестьянские(фермерские)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хозяйства, общественные объединения, индивидуальные предприниматели,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должностные лица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, граждане РФ, иностранные граждане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, лица без гражданства, владеющие, пользующиеся и (или) распоряжающейся территорией, прилегающей к лесу, обеспечивают ее очистку от сухой травянистой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растительности, пожнивных остатков, валежника, порубочных остатков, мусора и других горючих материалов на полосе шириной 10 метров от леса либо отделяют противопожарной  минерализованной полосой шириной 0,5 метра или иным противопожарным барьером.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Правообладатели земельных участков сельскохозяйственного назначения должны принимать меры по защите сельскохозяйственных угодий от зар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стания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сорной растительностью с своевременному проведению сенокошения на сенокосах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Запрещается выжигание сухой травянистой растительности, стерни пожнивных остатков на землях сельскохозяйственного назначения, землях запаса и землях населённого пункта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both"/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Испо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льзования открытого огня и разведения костров на землях сельскохозяйственного назначения, землях запаса и землях населённого пункта могут проводиться при условии соблюдения требований пожарной безопасности, установленных в порядке согласно приложению № 4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230711</wp:posOffset>
                </wp:positionV>
                <wp:extent cx="3604260" cy="1876096"/>
                <wp:effectExtent l="38100" t="38100" r="91440" b="86360"/>
                <wp:wrapNone/>
                <wp:docPr id="9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604259" cy="1876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ПОЛЬЗОВАТЕЛЬЯМ ЗЕМЕЛЬ СЕЛЬХОЗНАЗНАЧЕНИЯ, ПРИЛЕГАЮЩИХ К ЛЕСУ,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НАСЕЛЕННЫМ ПУНКТАМ, САДОВЫМ И ДАЧНЫМ ТОВАРИЩЕСТВАМ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50560;o:allowoverlap:true;o:allowincell:true;mso-position-horizontal-relative:text;margin-left:-75.60pt;mso-position-horizontal:absolute;mso-position-vertical-relative:text;margin-top:18.17pt;mso-position-vertical:absolute;width:283.80pt;height:147.72pt;mso-wrap-distance-left:9.00pt;mso-wrap-distance-top:0.00pt;mso-wrap-distance-right:9.00pt;mso-wrap-distance-bottom:0.00pt;v-text-anchor:top;visibility:visible;" fillcolor="#74903B" stroked="f" strokeweight="1.0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ПОЛЬЗОВАТЕЛЬЯМ ЗЕМЕЛЬ СЕЛЬХОЗНАЗНАЧЕНИЯ, ПРИЛЕГАЮЩИХ К ЛЕСУ,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НАСЕЛЕННЫМ ПУНКТАМ, САДОВЫМ И ДАЧНЫМ ТОВАРИЩЕСТВАМ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/>
    </w:p>
    <w:p>
      <w:pPr>
        <w:ind w:left="-851"/>
        <w:jc w:val="center"/>
      </w:pPr>
      <w:r/>
      <w:r/>
    </w:p>
    <w:p>
      <w:pPr>
        <w:ind w:left="-851"/>
        <w:jc w:val="right"/>
      </w:pPr>
      <w:r/>
      <w:bookmarkStart w:id="0" w:name="_GoBack"/>
      <w:r/>
      <w:bookmarkEnd w:id="0"/>
      <w:r>
        <w:rPr>
          <w:lang w:eastAsia="ru-RU"/>
        </w:rPr>
      </w:r>
      <w:r/>
    </w:p>
    <w:p>
      <w:r>
        <w:rPr>
          <w:lang w:eastAsia="ru-RU"/>
        </w:rPr>
      </w:r>
      <w:r/>
    </w:p>
    <w:p>
      <w:r/>
      <w:r/>
    </w:p>
    <w:p>
      <w:r/>
      <w:r/>
      <w:r/>
      <w:r/>
    </w:p>
    <w:p>
      <w:r/>
      <w:r/>
    </w:p>
    <w:p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126879</wp:posOffset>
                </wp:positionV>
                <wp:extent cx="3448050" cy="2047875"/>
                <wp:effectExtent l="0" t="0" r="0" b="0"/>
                <wp:wrapNone/>
                <wp:docPr id="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49" cy="204787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Уважаемые жители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Томской области!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jc w:val="both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случае обнаружения 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аросших сорной растительностью, деревьями, кустарниками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земельных участков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сельскохозяйственного назначения просим обращаться в Управление Россельхознадзора для принятия мер реагирования.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52608;o:allowoverlap:true;o:allowincell:true;mso-position-horizontal-relative:text;margin-left:-63.00pt;mso-position-horizontal:absolute;mso-position-vertical-relative:text;margin-top:9.99pt;mso-position-vertical:absolute;width:271.50pt;height:161.25pt;mso-wrap-distance-left:9.00pt;mso-wrap-distance-top:0.00pt;mso-wrap-distance-right:9.00pt;mso-wrap-distance-bottom:0.00pt;v-text-anchor:top;visibility:visible;" fillcolor="#000000" stroked="f" strokeweight="0.75pt">
                <v:fill opacity="100f"/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Уважаемые жители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Томской области!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jc w:val="both"/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случае обнаружения з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аросших сорной растительностью, деревьями, кустарниками 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земельных участков 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сельскохозяйственного назначения просим обращаться в Управление Россельхознадзора для принятия мер реагирования.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9817</wp:posOffset>
                </wp:positionV>
                <wp:extent cx="7329510" cy="6134735"/>
                <wp:effectExtent l="6350" t="6350" r="6350" b="6350"/>
                <wp:wrapNone/>
                <wp:docPr id="11" name="Рисунок 21" descr="C:\Users\Назаров\Desktop\TASS_37458760-782x4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78676" name="Picture 14" descr="C:\Users\Назаров\Desktop\TASS_37458760-782x44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7329510" cy="6134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2848;o:allowoverlap:true;o:allowincell:true;mso-position-horizontal-relative:text;margin-left:-75.60pt;mso-position-horizontal:absolute;mso-position-vertical-relative:text;margin-top:0.77pt;mso-position-vertical:absolute;width:577.13pt;height:483.0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  <w:r/>
    </w:p>
    <w:p>
      <w:r/>
      <w:r/>
    </w:p>
    <w:p>
      <w:r>
        <w:rPr>
          <w:lang w:eastAsia="ru-RU"/>
        </w:rPr>
      </w:r>
      <w:r/>
    </w:p>
    <w:p>
      <w:r/>
      <w:r/>
    </w:p>
    <w:p>
      <w:r/>
      <w:r/>
    </w:p>
    <w:p>
      <w:r/>
      <w:r/>
    </w:p>
    <w:p>
      <w:r/>
      <w:r/>
    </w:p>
    <w:p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20063</wp:posOffset>
                </wp:positionV>
                <wp:extent cx="3467100" cy="1590675"/>
                <wp:effectExtent l="0" t="0" r="0" b="0"/>
                <wp:wrapNone/>
                <wp:docPr id="1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099" cy="159067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spacing w:line="240" w:lineRule="auto"/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Административное наказание за данное правонарушение влечет наложение штрафа на граждан в размере от 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 до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 рублей;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 дол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жностных лиц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от 50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 до 100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рублей;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 юридических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лиц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 400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 до 700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000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рублей.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202" type="#_x0000_t202" style="position:absolute;z-index:251659776;o:allowoverlap:true;o:allowincell:true;mso-position-horizontal-relative:text;margin-left:-69.15pt;mso-position-horizontal:absolute;mso-position-vertical-relative:text;margin-top:1.58pt;mso-position-vertical:absolute;width:273.00pt;height:125.25pt;mso-wrap-distance-left:9.00pt;mso-wrap-distance-top:0.00pt;mso-wrap-distance-right:9.00pt;mso-wrap-distance-bottom:0.00pt;v-text-anchor:top;visibility:visible;" fillcolor="#000000" stroked="f" strokeweight="0.75pt">
                <v:fill opacity="100f"/>
                <v:textbox inset="0,0,0,0">
                  <w:txbxContent>
                    <w:p>
                      <w:pPr>
                        <w:jc w:val="both"/>
                        <w:spacing w:line="240" w:lineRule="auto"/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Административное наказание за данное правонарушение влечет наложение штрафа на граждан в размере от 20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 до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50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 рублей;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 дол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жностных лиц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от 50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 до 100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рублей;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 юридических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лиц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 400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 до 700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000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рублей.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:lang w:eastAsia="ru-RU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</w:r>
      <w:r/>
    </w:p>
    <w:p>
      <w:r/>
      <w:r/>
      <w:r/>
      <w:r/>
    </w:p>
    <w:p>
      <w:r/>
      <w:r/>
    </w:p>
    <w:p>
      <w:r/>
      <w:r/>
    </w:p>
    <w:p>
      <w:pPr>
        <w:tabs>
          <w:tab w:val="left" w:pos="1390" w:leader="none"/>
        </w:tabs>
      </w:pPr>
      <w:r/>
      <w:r/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-823912</wp:posOffset>
                </wp:positionH>
                <wp:positionV relativeFrom="paragraph">
                  <wp:posOffset>650170</wp:posOffset>
                </wp:positionV>
                <wp:extent cx="3495675" cy="1619250"/>
                <wp:effectExtent l="0" t="0" r="0" b="0"/>
                <wp:wrapNone/>
                <wp:docPr id="1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4" cy="161924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проведение противопожарных мероприятий может явиться причиной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возникновения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лесных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пожаров - такая информация будет передоваться в Главное Управление МЧС России по Томской области,для принятия мер реагирования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664896;o:allowoverlap:true;o:allowincell:true;mso-position-horizontal-relative:text;margin-left:-64.87pt;mso-position-horizontal:absolute;mso-position-vertical-relative:text;margin-top:51.19pt;mso-position-vertical:absolute;width:275.25pt;height:127.50pt;mso-wrap-distance-left:9.00pt;mso-wrap-distance-top:0.00pt;mso-wrap-distance-right:9.00pt;mso-wrap-distance-bottom:0.00pt;v-text-anchor:top;visibility:visible;" fillcolor="#000000" stroked="f" strokeweight="0.75pt">
                <v:fill opacity="100f"/>
                <v:textbox inset="0,0,0,0">
                  <w:txbxContent>
                    <w:p>
                      <w:pPr>
                        <w:jc w:val="both"/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Не проведение противопожарных мероприятий может явиться причиной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возникновения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eastAsia="ru-RU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лесных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:lang w:eastAsia="ru-RU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пожаров - такая информация будет передоваться в Главное Управление МЧС России по Томской области,для принятия мер реагирования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/>
    </w:p>
    <w:sectPr>
      <w:footnotePr/>
      <w:endnotePr/>
      <w:type w:val="nextPage"/>
      <w:pgSz w:w="11906" w:h="16838" w:orient="portrait"/>
      <w:pgMar w:top="673" w:right="850" w:bottom="1134" w:left="1701" w:header="567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663"/>
    <w:uiPriority w:val="30"/>
    <w:rPr>
      <w:i/>
    </w:rPr>
  </w:style>
  <w:style w:type="character" w:styleId="43">
    <w:name w:val="Header Char"/>
    <w:basedOn w:val="654"/>
    <w:link w:val="659"/>
    <w:uiPriority w:val="99"/>
  </w:style>
  <w:style w:type="character" w:styleId="45">
    <w:name w:val="Footer Char"/>
    <w:basedOn w:val="654"/>
    <w:link w:val="66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54"/>
    <w:link w:val="657"/>
    <w:uiPriority w:val="99"/>
    <w:semiHidden/>
    <w:rPr>
      <w:rFonts w:ascii="Tahoma" w:hAnsi="Tahoma" w:cs="Tahoma"/>
      <w:sz w:val="16"/>
      <w:szCs w:val="16"/>
    </w:rPr>
  </w:style>
  <w:style w:type="paragraph" w:styleId="659">
    <w:name w:val="Head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4"/>
    <w:link w:val="659"/>
    <w:uiPriority w:val="99"/>
  </w:style>
  <w:style w:type="paragraph" w:styleId="661">
    <w:name w:val="Footer"/>
    <w:basedOn w:val="653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4"/>
    <w:link w:val="661"/>
    <w:uiPriority w:val="99"/>
  </w:style>
  <w:style w:type="paragraph" w:styleId="663">
    <w:name w:val="Intense Quote"/>
    <w:basedOn w:val="653"/>
    <w:next w:val="653"/>
    <w:link w:val="664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styleId="664" w:customStyle="1">
    <w:name w:val="Выделенная цитата Знак"/>
    <w:basedOn w:val="654"/>
    <w:link w:val="663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revision>5</cp:revision>
  <dcterms:created xsi:type="dcterms:W3CDTF">2025-03-06T09:46:00Z</dcterms:created>
  <dcterms:modified xsi:type="dcterms:W3CDTF">2025-03-06T09:53:33Z</dcterms:modified>
</cp:coreProperties>
</file>